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color w:val="000000" w:themeColor="text1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color w:val="000000" w:themeColor="text1"/>
          <w:sz w:val="24"/>
          <w:szCs w:val="24"/>
        </w:rPr>
        <w:t>CONTRATO Nº 7/2022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color w:val="000000" w:themeColor="text1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color w:val="000000" w:themeColor="text1"/>
          <w:sz w:val="24"/>
          <w:szCs w:val="24"/>
        </w:rPr>
        <w:t>PROCESSO LICITATÓRIO Nº 5543/2022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color w:val="000000" w:themeColor="text1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color w:val="000000" w:themeColor="text1"/>
          <w:sz w:val="24"/>
          <w:szCs w:val="24"/>
        </w:rPr>
        <w:t>DISPENSA DE LICITAÇÃO POR JUSTIFICATIVA Nº 7/2022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color w:val="000000" w:themeColor="text1"/>
          <w:sz w:val="24"/>
          <w:szCs w:val="24"/>
        </w:rPr>
      </w:pPr>
      <w:r>
        <w:rPr>
          <w:rFonts w:eastAsia="Times New Roman" w:cs="Calibri Light" w:ascii="Calibri" w:hAnsi="Calibri"/>
          <w:color w:val="000000" w:themeColor="text1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color w:val="000000" w:themeColor="text1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color w:val="000000" w:themeColor="text1"/>
          <w:sz w:val="24"/>
          <w:szCs w:val="24"/>
        </w:rPr>
        <w:t xml:space="preserve">O </w:t>
      </w:r>
      <w:r>
        <w:rPr>
          <w:rFonts w:eastAsia="Times New Roman" w:cs="Calibri Light" w:ascii="Calibri" w:hAnsi="Calibri" w:asciiTheme="minorHAnsi" w:hAnsiTheme="minorHAnsi"/>
          <w:b/>
          <w:color w:val="000000" w:themeColor="text1"/>
          <w:sz w:val="24"/>
          <w:szCs w:val="24"/>
        </w:rPr>
        <w:t>MUNICÍPIO DE UBIRATÃ</w:t>
      </w:r>
      <w:r>
        <w:rPr>
          <w:rFonts w:eastAsia="Times New Roman" w:cs="Calibri Light" w:ascii="Calibri" w:hAnsi="Calibri" w:asciiTheme="minorHAnsi" w:hAnsiTheme="minorHAnsi"/>
          <w:color w:val="000000" w:themeColor="text1"/>
          <w:sz w:val="24"/>
          <w:szCs w:val="24"/>
        </w:rPr>
        <w:t xml:space="preserve">, pessoa jurídica de direito público, inscrito no CNPJ n.º 76.950.096/0001-10, com sede administrativa a Avenida Nilza de Oliveira Pipino, nº 1852, centro, na cidade de Ubiratã, Estado do Paraná, CEP nº 85.440-000, representado pelo Prefeito Fábio de Oliveira Dalécio, doravante denominado como CONTRATANTE, e o </w:t>
      </w:r>
      <w:r>
        <w:rPr>
          <w:rFonts w:eastAsia="Times New Roman" w:cs="Calibri Light" w:ascii="Calibri" w:hAnsi="Calibri" w:asciiTheme="minorHAnsi" w:hAnsiTheme="minorHAnsi"/>
          <w:b/>
          <w:color w:val="000000" w:themeColor="text1"/>
          <w:sz w:val="24"/>
          <w:szCs w:val="24"/>
        </w:rPr>
        <w:t>SERVIÇO NACIONAL DE APRENDIZAGEM INDUSTRIAL – SENAI</w:t>
      </w:r>
      <w:r>
        <w:rPr>
          <w:rFonts w:eastAsia="Times New Roman" w:cs="Calibri Light" w:ascii="Calibri" w:hAnsi="Calibri" w:asciiTheme="minorHAnsi" w:hAnsiTheme="minorHAnsi"/>
          <w:color w:val="000000" w:themeColor="text1"/>
          <w:sz w:val="24"/>
          <w:szCs w:val="24"/>
        </w:rPr>
        <w:t>, inscrito no CNPJ nº 03.776.284/0006-05, sediado à Rua Heitor Stockler de França, nº 161, Cascavel, Paraná, CEP 85.819-760, representado pelo Coordenador de Educação Dilson Antônio Ledur, doravante designado como CONTRATADA, firmam o presente contrato que se regerá pelas condições estabelecidas na Dispensa de Licitação nº 7/2022, conforme art. 24, inciso XIII da Lei Federal nº 8.666, de 21 de junho de 1993 e de acordo com as cláusulas a seguir: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sz w:val="24"/>
          <w:szCs w:val="24"/>
        </w:rPr>
        <w:t>1. CLÁUSULA PRIMEIRA – DO OBJETO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 xml:space="preserve">1.1. O objeto do presente instrumento é a </w:t>
      </w:r>
      <w:r>
        <w:rPr>
          <w:rFonts w:eastAsia="Times New Roman" w:cs="Calibri Light" w:ascii="Calibri" w:hAnsi="Calibri" w:asciiTheme="minorHAnsi" w:hAnsiTheme="minorHAnsi"/>
          <w:b/>
          <w:sz w:val="24"/>
          <w:szCs w:val="24"/>
        </w:rPr>
        <w:t>CONTRATAÇÃO DO SERVIÇO NACIONAL DE APRENDIZAGEM INDUSTRIAL – SENAI PARA QUALIFICAÇÃO PROFISSIONAL NO MUNICÍPIO DE UBIRATÃ, ATRAVÉS DA OFERTA DOS SEGUINTES CURSOS: ELETRICIDADE PREDIAL; ELETRICIDADE BÁSICA RESIDENCIAL; INSTALAÇÕES DE ALARMES, CFTV E PORTEIRO ELETRÔNICO; ARMAÇÃO DE ESTRUTURAS PARA CONSTRUÇÃO CIVIL; PINTURA DE OBRAS; TÉCNICAS DE CONSTRUÇÃO CIVIL EM ALVENARIA.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sz w:val="24"/>
          <w:szCs w:val="24"/>
        </w:rPr>
        <w:t>2. CLÁUSULA SEGUNDA – DO DETALHAMENTO DO OBJETO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2.1. A execução do objeto do contrato se dará na seguinte especificação, quantidade, valores unitários e totais: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tbl>
      <w:tblPr>
        <w:tblStyle w:val="Tabelacomgrade1"/>
        <w:tblW w:w="1006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5"/>
        <w:gridCol w:w="2696"/>
        <w:gridCol w:w="957"/>
        <w:gridCol w:w="1596"/>
        <w:gridCol w:w="991"/>
        <w:gridCol w:w="1559"/>
        <w:gridCol w:w="1560"/>
      </w:tblGrid>
      <w:tr>
        <w:trPr/>
        <w:tc>
          <w:tcPr>
            <w:tcW w:w="7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ITEM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CURSO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QTD TURMAS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QTD ALUNOS/TURMA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CARGA HORÁRIA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CARGA HORÁRIA TOTAL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INVESTIMENTO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1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Curso de eletricidade predial – vespertino.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1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16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80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80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R$ 13.072,00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2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Curso de eletricidade básica residencial – noturno.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1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16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40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40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R$ 6.536,00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3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Curso de instalações de alarmes, CFTV e porteiro eletrônico – noturno.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1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16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40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40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R$ 6.536,00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4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Curso de armação de estruturas para construção civil – vespertino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1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20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40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40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R$ 5.244,00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5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Curso de pintura de obras – vespertino e noturno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2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20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40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80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R$ 10.488,00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6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Curso de técnicas de construção civil em alvenaria – noturno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1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20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40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40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" w:asciiTheme="minorHAnsi" w:cstheme="minorBidi" w:hAnsiTheme="minorHAnsi"/>
                <w:szCs w:val="20"/>
              </w:rPr>
            </w:pPr>
            <w:r>
              <w:rPr>
                <w:rFonts w:eastAsia="Calibri" w:cs="" w:ascii="Calibri" w:hAnsi="Calibri" w:asciiTheme="minorHAnsi" w:cstheme="minorBidi" w:hAnsiTheme="minorHAnsi"/>
                <w:kern w:val="0"/>
                <w:szCs w:val="20"/>
                <w:lang w:val="pt-BR" w:eastAsia="en-US" w:bidi="ar-SA"/>
              </w:rPr>
              <w:t>R$ 5.244,00</w:t>
            </w:r>
          </w:p>
        </w:tc>
      </w:tr>
    </w:tbl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sz w:val="24"/>
          <w:szCs w:val="24"/>
        </w:rPr>
        <w:t>3. CLÁUSULA TERCEIRA – DO VALOR CONTRATADO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3.1. O valor global da contratação está fixado em R$ 47.120,00 (quarenta e sete mil cento e vinte reais).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/>
          <w:b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sz w:val="24"/>
          <w:szCs w:val="24"/>
        </w:rPr>
        <w:t>4. CLÁUSULA QUARTA – DA VIGÊNCIA DA CONTRATAÇÃO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/>
          <w:b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4.1. A vigência da contratação será de noventa dias, iniciada a partir da assinatura do instrumento de contrato.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i/>
          <w:i/>
          <w:color w:val="FF0000"/>
          <w:sz w:val="24"/>
          <w:szCs w:val="24"/>
        </w:rPr>
      </w:pPr>
      <w:r>
        <w:rPr>
          <w:rFonts w:eastAsia="Times New Roman" w:cs="Calibri Light" w:ascii="Calibri" w:hAnsi="Calibri"/>
          <w:i/>
          <w:color w:val="FF0000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sz w:val="24"/>
          <w:szCs w:val="24"/>
        </w:rPr>
        <w:t>5. CLÁUSULA QUINTA – DAS OBRIGAÇÕES DAS PARTES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5.1. Compete à CONTRATADA: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A. A prerrogativa de conservar a autoridade normativa e exercer o controle e a fiscalização sobre a sua execução, através da Unidade Operacional de Ações Móveis;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B. Coordenar as atividades educacionais, responsabilizando-se, também, pela supervisão e orientação pedagógica e técnica dos cursos;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C. Disponibilizar a infraestrutura física e material didático para realização dos cursos;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D. Emitir os certificados de conclusão aos participantes que obtiverem aproveitamento, conforme normas contidas no Regimento Interno das Unidades do SENAI/PR;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E. Disponibilizar profissionais com capacitação técnica e metodológica para desenvolvimento das atividades;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F. Responsabilizar-se pela realização das matrículas dos alunos;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G. Arcar com o ônus dos custeios de apólice de seguro contra danos de bens móveis e imóveis;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H. Participar da avaliação conjunta dos participantes e dos resultados, colocando no processo de análise crítica e contribuindo para identificação de oportunidades e melhoria;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I. Divulgar as ações advindas desta parceria na comunidade, destacando os resultados alcançados e as entidades envolvidas;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J. Auxiliar na divulgação dos cursos objeto do presente instrumento;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K. É facultado ao SENAI/PR assumir a execução do objeto ou transferi-la para outra entidade, de modo a evitar a descontinuidade da ação, no caso de paralisação ou de fato relevante, quando couber;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L. Prorrogar, de ofício, a vigência deste contrato de serviço, quando houver atraso na realização dos compromissos assumidos na presente cláusula, limitada à prorrogação ao exato período do atraso verificado, desde que ainda haja plena condição de execução do objeto.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5.2. Compete ao CONTRATANTE: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A. Executar o objeto pactuado deste contrato de prestação de serviço;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B. Divulgar as ações advindas desta parceria na comunidade, destacando os resultados alcançados e as entidades envolvidas;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C. Disponibilizar espaço físico adequado para instalação da Escola Móvel SENAI e das Unidades Móveis, adequando o terreno quanto ao nivelamento necessário para instalação do projeto, sendo necessário uma área de aproximadamente 500 m², ou seja, um terreno com dimensões aproximadas de 20 metros de frente e 25 a 30 metros de fundo;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D. Realizar a instalação elétrica das unidades Móveis e da Escola Móvel com demanda total de carga de aproximadamente 70KVA e 100 A;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E. Disponibilizar um eletricista para acompanhar a instalação das máquinas e equipamentos durante o procedimento de montagem da Escola Móvel;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F. Manter os serviços de vigilância, limpeza e conservação no ambiente de ensino da Escola Móvel durante o período da atividade educacional;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G. Apoiar e colaborar no controle de registro e documentos, atendendo ás especificações dos procedimentos aplicáveis e vigentes, implantados pelo sistema de Gestão do SENAI-PR;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H. Participar da avaliação conjunta dos participantes e dos resultados, colocando no processo de análise crítica e contribuindo para identificação de oportunidades e melhoria;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I. Facilitar a supervisão e a fiscalização pelo CONCEDENTE, permitindo-lhe o acompanhamento in loco e fornecendo, sempre que solicitadas, as informações e todos os documentos relacionados com a execução do objeto deste instrumento;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J. Permitir o livre acesso de profissionais do SENAI, a qualquer tempo e lugar, a todos os atos e aos registros dos fatos relacionados, direta ou indiretamente, com a execução do presente Contrato, quando em missão de fiscalização e auditoria;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K. Adotar todas as medidas necessárias à correta execução deste Contrato;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L. Realizar a prestação de contas deste contrato mediante seu término, através de relatório pormenorizado indicando: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567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1. Número de turmas realizadas;</w:t>
      </w:r>
    </w:p>
    <w:p>
      <w:pPr>
        <w:pStyle w:val="Normal"/>
        <w:overflowPunct w:val="true"/>
        <w:spacing w:lineRule="auto" w:line="240" w:before="0" w:after="0"/>
        <w:ind w:left="567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567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2. Número de alunos que participaram dos cursos que serão definidos posteriormente;</w:t>
      </w:r>
    </w:p>
    <w:p>
      <w:pPr>
        <w:pStyle w:val="Normal"/>
        <w:overflowPunct w:val="true"/>
        <w:spacing w:lineRule="auto" w:line="240" w:before="0" w:after="0"/>
        <w:ind w:left="567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567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3. Número de alunos concluintes.</w:t>
      </w:r>
    </w:p>
    <w:p>
      <w:pPr>
        <w:pStyle w:val="Normal"/>
        <w:overflowPunct w:val="true"/>
        <w:spacing w:lineRule="auto" w:line="240" w:before="0" w:after="0"/>
        <w:ind w:left="567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sz w:val="24"/>
          <w:szCs w:val="24"/>
        </w:rPr>
        <w:t>6. CLÁUSULA SEXTA – DAS CONDIÇÕES DE PAGAMENTO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6.1. O pagamento será efetuado via boleto bancário, conforme realização de cada curso.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6.2. As despesas para atender a contratação estão programadas em dotação orçamentária prevista no orçamento do Município para o exercício de 2022, na classificação abaixo: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tbl>
      <w:tblPr>
        <w:tblW w:w="10065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51"/>
        <w:gridCol w:w="1239"/>
        <w:gridCol w:w="1836"/>
        <w:gridCol w:w="3729"/>
        <w:gridCol w:w="1133"/>
        <w:gridCol w:w="1276"/>
      </w:tblGrid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eastAsia="Calibri" w:cs="Book Antiqua" w:asciiTheme="minorHAnsi" w:hAnsiTheme="minorHAnsi"/>
                <w:bCs/>
                <w:sz w:val="22"/>
                <w:szCs w:val="22"/>
                <w:lang w:eastAsia="ar-SA"/>
              </w:rPr>
            </w:pPr>
            <w:r>
              <w:rPr>
                <w:rFonts w:eastAsia="Calibri" w:cs="Book Antiqua" w:ascii="Calibri" w:hAnsi="Calibri" w:asciiTheme="minorHAnsi" w:hAnsiTheme="minorHAnsi"/>
                <w:bCs/>
                <w:sz w:val="22"/>
                <w:szCs w:val="22"/>
                <w:lang w:eastAsia="ar-SA"/>
              </w:rPr>
              <w:t>Órgão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eastAsia="Calibri" w:cs="Book Antiqua" w:asciiTheme="minorHAnsi" w:hAnsiTheme="minorHAnsi"/>
                <w:bCs/>
                <w:sz w:val="22"/>
                <w:szCs w:val="22"/>
                <w:lang w:eastAsia="ar-SA"/>
              </w:rPr>
            </w:pPr>
            <w:r>
              <w:rPr>
                <w:rFonts w:eastAsia="Calibri" w:cs="Book Antiqua" w:ascii="Calibri" w:hAnsi="Calibri" w:asciiTheme="minorHAnsi" w:hAnsiTheme="minorHAnsi"/>
                <w:bCs/>
                <w:sz w:val="22"/>
                <w:szCs w:val="22"/>
                <w:lang w:eastAsia="ar-SA"/>
              </w:rPr>
              <w:t>Despesa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eastAsia="Calibri" w:cs="Book Antiqua" w:asciiTheme="minorHAnsi" w:hAnsiTheme="minorHAnsi"/>
                <w:bCs/>
                <w:sz w:val="22"/>
                <w:szCs w:val="22"/>
                <w:lang w:eastAsia="ar-SA"/>
              </w:rPr>
            </w:pPr>
            <w:r>
              <w:rPr>
                <w:rFonts w:eastAsia="Calibri" w:cs="Book Antiqua" w:ascii="Calibri" w:hAnsi="Calibri" w:asciiTheme="minorHAnsi" w:hAnsiTheme="minorHAnsi"/>
                <w:bCs/>
                <w:sz w:val="22"/>
                <w:szCs w:val="22"/>
                <w:lang w:eastAsia="ar-SA"/>
              </w:rPr>
              <w:t>Categoria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eastAsia="Calibri" w:cs="Book Antiqua" w:asciiTheme="minorHAnsi" w:hAnsiTheme="minorHAnsi"/>
                <w:bCs/>
                <w:sz w:val="22"/>
                <w:szCs w:val="22"/>
                <w:lang w:eastAsia="ar-SA"/>
              </w:rPr>
            </w:pPr>
            <w:r>
              <w:rPr>
                <w:rFonts w:eastAsia="Calibri" w:cs="Book Antiqua" w:ascii="Calibri" w:hAnsi="Calibri" w:asciiTheme="minorHAnsi" w:hAnsiTheme="minorHAnsi"/>
                <w:bCs/>
                <w:sz w:val="22"/>
                <w:szCs w:val="22"/>
                <w:lang w:eastAsia="ar-SA"/>
              </w:rPr>
              <w:t>Descrição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eastAsia="Calibri" w:cs="Book Antiqua" w:asciiTheme="minorHAnsi" w:hAnsiTheme="minorHAnsi"/>
                <w:bCs/>
                <w:sz w:val="22"/>
                <w:szCs w:val="22"/>
                <w:lang w:eastAsia="ar-SA"/>
              </w:rPr>
            </w:pPr>
            <w:r>
              <w:rPr>
                <w:rFonts w:eastAsia="Calibri" w:cs="Book Antiqua" w:ascii="Calibri" w:hAnsi="Calibri" w:asciiTheme="minorHAnsi" w:hAnsiTheme="minorHAnsi"/>
                <w:bCs/>
                <w:sz w:val="22"/>
                <w:szCs w:val="22"/>
                <w:lang w:eastAsia="ar-SA"/>
              </w:rPr>
              <w:t>Fonte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eastAsia="Calibri" w:cs="Book Antiqua" w:asciiTheme="minorHAnsi" w:hAnsiTheme="minorHAnsi"/>
                <w:bCs/>
                <w:sz w:val="22"/>
                <w:szCs w:val="22"/>
                <w:lang w:eastAsia="ar-SA"/>
              </w:rPr>
            </w:pPr>
            <w:r>
              <w:rPr>
                <w:rFonts w:eastAsia="Calibri" w:cs="Book Antiqua" w:ascii="Calibri" w:hAnsi="Calibri" w:asciiTheme="minorHAnsi" w:hAnsiTheme="minorHAnsi"/>
                <w:bCs/>
                <w:sz w:val="22"/>
                <w:szCs w:val="22"/>
                <w:lang w:eastAsia="ar-SA"/>
              </w:rPr>
              <w:t>Valor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eastAsia="Calibri" w:cs="Book Antiqua" w:asciiTheme="minorHAnsi" w:hAnsiTheme="minorHAnsi"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1201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eastAsia="Calibri" w:cs="Book Antiqua" w:asciiTheme="minorHAnsi" w:hAnsiTheme="minorHAnsi"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8772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eastAsia="Calibri" w:cs="Book Antiqua" w:asciiTheme="minorHAnsi" w:hAnsiTheme="minorHAnsi"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339039050000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eastAsia="Calibri" w:cs="Book Antiqua" w:asciiTheme="minorHAnsi" w:hAnsiTheme="minorHAnsi"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Serviços Técnicos Profissionais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eastAsia="Calibri" w:cs="Book Antiqua" w:asciiTheme="minorHAnsi" w:hAnsiTheme="minorHAnsi"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Livre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eastAsia="Calibri" w:cs="Book Antiqua" w:asciiTheme="minorHAnsi" w:hAnsiTheme="minorHAnsi"/>
                <w:bCs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47.120,00</w:t>
            </w:r>
          </w:p>
        </w:tc>
      </w:tr>
    </w:tbl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sz w:val="24"/>
          <w:szCs w:val="24"/>
        </w:rPr>
        <w:t>7. CLÁUSULA SÉTIMA – DA COMPENSAÇÃO FINANCEIRA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/>
          <w:b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7.1. Em caso de atraso de pagamento motivado exclusivamente pela CONTRATANTE,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 aplicação das seguintes fórmulas: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I = (TX / 100) / 365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EM = I x N x VP, onde: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I = Índice de atualização financeira;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TX = Percentual da taxa de juros de mora anual;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EM = Encargos moratórios;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N = N. de dias entre a data prevista para pagamento e a do efetivo pagamento;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VP = Valor da parcela em atraso.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sz w:val="24"/>
          <w:szCs w:val="24"/>
        </w:rPr>
        <w:t>8. CLÁUSULA OITAVA – DAS ALTERAÇÕES CONTRATUAIS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color w:val="FF0000"/>
          <w:sz w:val="24"/>
          <w:szCs w:val="24"/>
        </w:rPr>
      </w:pPr>
      <w:r>
        <w:rPr>
          <w:rFonts w:eastAsia="Times New Roman" w:cs="Calibri Light" w:ascii="Calibri" w:hAnsi="Calibri"/>
          <w:color w:val="FF0000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8.1. O Contrato poderá ser alterado, com as devidas justificativas, nas hipóteses previstas no art. 65 da Lei Federal nº 8.666/93.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sz w:val="24"/>
          <w:szCs w:val="24"/>
        </w:rPr>
        <w:t>9. CLÁUSULA NONA – DO REAJUSTE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/>
          <w:b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9.1. Os preços poderão ser reajustados após o transcurso de 12 (doze) meses, contados da data de apresentação da proposta.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9.2. O reajuste do preço contratado estará limitado à variação do Índice de Preço ao Consumidor Amplo (IPCA), ou outro que vier a substituí-lo, considerando o índice do mês anterior ao da apresentação da proposta e o índice do mês anterior ao do aniversário da proposta.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9.3. Nos reajustes subsequentes ao primeiro, o interregno mínimo de um ano será contado a partir dos efeitos financeiros do último reajuste.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sz w:val="24"/>
          <w:szCs w:val="24"/>
        </w:rPr>
        <w:t>10. CLÁUSULA DÉCIMA – DA GESTÃO E FISCALIZAÇÃO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10.1. Caberá a gestão da contratação ao servidor Laércio França.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10.2. Caberá a fiscalização da contratação à servidora Izabel Francelina Bento Calsavara.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10.3. A fiscalização não exclui nem reduz a responsabilidade da CONTRATADA pelos danos causados a CONTRATANTE ou a terceiros, resultantes de ação ou omissão culposa ou dolosa de quaisquer de seus empregados ou prepostos.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10.4. A ação ou omissão total ou parcial da fiscalização da CONTRATANTE não elide nem diminui a responsabilidade da CONTRATADA quanto ao cumprimento das obrigações pactuadas entre as partes, responsabilizando esta quanto a quaisquer irregularidades.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10.5. As comunicações entre CONTRATANTE e CONTRATADA devem ser realizadas por escrito sempre que o ato exigir tal formalidade, admitindo-se, excepcionalmente, o uso de mensagem eletrônica para esse fim.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10.6. Caberá ao gestor e ao fiscal as atribuições constantes na Portaria nº 05/2022.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sz w:val="24"/>
          <w:szCs w:val="24"/>
        </w:rPr>
        <w:t>11. CLÁUSULA DÉCIMA PRIMEIRA – DAS SANÇÕES ADMINISTRATIVAS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/>
          <w:b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11.1. Poderão ser aplicadas as seguintes penalidades: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11.1.1. Advertência;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11.1.2. Multa;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11.2. As multas poderão ser: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11.2.1. De caráter moratório, pelo atraso injustificado na entrega ou execução do objeto do contrato, nos seguintes percentuais: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567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11.2.1.1. 2% (dois por cento) ao dia, incidente sobre o valor correspondente à parcela, etapa ou pedido único em que ocorreu o fato, até o limite máximo de 30 (trinta) dias.</w:t>
      </w:r>
    </w:p>
    <w:p>
      <w:pPr>
        <w:pStyle w:val="Normal"/>
        <w:overflowPunct w:val="true"/>
        <w:spacing w:lineRule="auto" w:line="240" w:before="0" w:after="0"/>
        <w:ind w:left="567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851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 xml:space="preserve">A. Extrapolado o limite máximo de 30 (trinta) dias, o percentual da multa será calculado em dobro. </w:t>
      </w:r>
    </w:p>
    <w:p>
      <w:pPr>
        <w:pStyle w:val="Normal"/>
        <w:overflowPunct w:val="true"/>
        <w:spacing w:lineRule="auto" w:line="240" w:before="0" w:after="0"/>
        <w:ind w:left="567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567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11.2.1.2. 5% (cinco por cento) pelo descumprimento de qualquer outra cláusula contratual durante sua execução, incidente sobre o valor correspondente à parcela, etapa ou pedido único em que ocorreu o fato.</w:t>
      </w:r>
    </w:p>
    <w:p>
      <w:pPr>
        <w:pStyle w:val="Normal"/>
        <w:overflowPunct w:val="true"/>
        <w:spacing w:lineRule="auto" w:line="240" w:before="0" w:after="0"/>
        <w:ind w:left="567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11.2.2. De caráter compensatório, sem prejuízo das multas moratórias, nos seguintes percentuais: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567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11.2.2.1. 10% (dez por cento), incidente sobre o valor correspondente à parcela, etapa ou pedido único em que ocorreu o fato, pela inexecução parcial do objeto;</w:t>
      </w:r>
    </w:p>
    <w:p>
      <w:pPr>
        <w:pStyle w:val="Normal"/>
        <w:overflowPunct w:val="true"/>
        <w:spacing w:lineRule="auto" w:line="240" w:before="0" w:after="0"/>
        <w:ind w:left="567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567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11.2.2.2. 15% (quinze por cento) sobre o valor total do contrato, pela sua inexecução total.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11.3. As sanções previstas poderão ser aplicadas concomitantemente com a sanção de advertência.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11.4. A CONTRATADA deverá efetuar o pagamento do valor correspondente à multa no prazo e forma estipulados no termo de aplicação de penalidade, podendo ainda ser descontado de pagamentos a que a mesma tenha direito.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11.4.1. Não havendo o pagamento, o valor devido será inscrito em dívida ativa para futura execução fiscal.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11.5. A autoridade competente, na aplicação das sanções, levará em consideração a gravidade da conduta do infrator, o caráter educativo da pena, bem como o dano causado à administração, observado o princípio da proporcionalidade.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11.6. A aplicação das penalidades previstas fica condicionada a ampla defesa e contraditório no devido processo legal, sem prejuízo da defesa prévia.</w:t>
      </w:r>
    </w:p>
    <w:p>
      <w:pPr>
        <w:pStyle w:val="Normal"/>
        <w:spacing w:lineRule="auto" w:line="240" w:before="0" w:after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sz w:val="24"/>
          <w:szCs w:val="24"/>
        </w:rPr>
        <w:t>12. CLÁUSULA DÉCIMA SEGUNDA - DA RESCISÃO DO CONTRATO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12.1. Constituem motivos para rescisão contratual: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12.1.1. A inexecução parcial ou total das obrigações assumidas;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12.1.2. As hipóteses especificadas nos arts. 77 e 78 da Lei Federal nº 8.666/93.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12.2. A rescisão do contrato poderá ser: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12.2.1. Determinada por ato unilateral e escrito da CONTRATANTE, nos casos enumerados nos incisos I a XII e XVII do artigo 78 da Lei Federal nº 8.666/93;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12.2.2. Amigável, por acordo entre as partes, reduzida a termo no processo da licitação, desde que haja conveniência para a CONTRATANTE;</w:t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ind w:left="284" w:hanging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12.2.3. Judicial, nos termos da legislação.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12.3. Os casos de rescisão contratual serão formalmente motivados, assegurado o contraditório e a ampla defesa.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sz w:val="24"/>
          <w:szCs w:val="24"/>
        </w:rPr>
        <w:t>13. CLÁUSULA DÉCIMA TERCEIRA – DA SUBCONTRATAÇÃO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13.1. À CONTRATADA é vedado transferir para terceiros, total ou parcialmente os direitos e obrigações decorrentes do contrato.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sz w:val="24"/>
          <w:szCs w:val="24"/>
        </w:rPr>
        <w:t>14. CLÁUSULA DÉCIMA QUARTA - VINCULAÇÃO AO CONTRATO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14.1. Ficam vinculados ao contrato, dele fazendo parte integrante, independentemente de suas transcrições parciais ou totais, a proposta final da CONTRATADA.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sz w:val="24"/>
          <w:szCs w:val="24"/>
        </w:rPr>
        <w:t>15. CLÁUSULA DÉCIMA QUINTA - DA LEGISLAÇÃO APLICÁVEL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15.1. O presente contrato rege-se pelas disposições expressas na Lei Federal nº 8.666/93, Lei nº 8.078/90 e por outras normas de direito público ou privado que melhor tutelem o interesse público.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/>
          <w:b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sz w:val="24"/>
          <w:szCs w:val="24"/>
        </w:rPr>
        <w:t>16. CLÁUSULA DÉCIMA SEXTA – DOS CASOS OMISSOS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16.1. Os casos omissos serão resolvidos à luz da Lei Federal nº 8.666/93, e dos princípios gerais de direito.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sz w:val="24"/>
          <w:szCs w:val="24"/>
        </w:rPr>
        <w:t>17. CLÁSULA DÉCIMA SÉTIMA – DO FORO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17.1. Fica eleito o foro da Comarca de Ubiratã, para dirimir quaisquer dúvidas ou questões oriundas do presente contrato.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Assim ajustadas, firmam as partes o presente instrumento, em 02 (duas) vias iguais e rubricadas, para todos os fins de direito.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color w:val="000000" w:themeColor="text1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color w:val="000000" w:themeColor="text1"/>
          <w:sz w:val="24"/>
          <w:szCs w:val="24"/>
        </w:rPr>
        <w:t>Ubiratã - Paraná, 07 de fevereiro de 2022.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color w:val="000000" w:themeColor="text1"/>
          <w:sz w:val="24"/>
          <w:szCs w:val="24"/>
        </w:rPr>
      </w:pPr>
      <w:r>
        <w:rPr>
          <w:rFonts w:eastAsia="Times New Roman" w:cs="Calibri Light" w:ascii="Calibri" w:hAnsi="Calibri"/>
          <w:color w:val="000000" w:themeColor="text1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color w:val="FF0000"/>
          <w:sz w:val="24"/>
          <w:szCs w:val="24"/>
        </w:rPr>
      </w:pPr>
      <w:r>
        <w:rPr>
          <w:rFonts w:eastAsia="Times New Roman" w:cs="Calibri Light" w:ascii="Calibri" w:hAnsi="Calibri"/>
          <w:color w:val="FF0000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color w:val="FF0000"/>
          <w:sz w:val="24"/>
          <w:szCs w:val="24"/>
        </w:rPr>
      </w:pPr>
      <w:r>
        <w:rPr>
          <w:rFonts w:eastAsia="Times New Roman" w:cs="Calibri Light" w:ascii="Calibri" w:hAnsi="Calibri"/>
          <w:color w:val="FF0000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color w:val="FF0000"/>
          <w:sz w:val="24"/>
          <w:szCs w:val="24"/>
        </w:rPr>
      </w:pPr>
      <w:r>
        <w:rPr>
          <w:rFonts w:eastAsia="Times New Roman" w:cs="Calibri Light" w:ascii="Calibri" w:hAnsi="Calibri"/>
          <w:color w:val="FF0000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Calibri" w:hAnsi="Calibri" w:eastAsia="Times New Roman" w:cs="Calibri Light" w:asciiTheme="minorHAnsi" w:hAnsiTheme="minorHAnsi"/>
          <w:b/>
          <w:b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sz w:val="24"/>
          <w:szCs w:val="24"/>
        </w:rPr>
        <w:t>MUNICÍPIO DE UBIRATÃ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Contratante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 xml:space="preserve">    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/>
          <w:sz w:val="24"/>
          <w:szCs w:val="24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b/>
          <w:color w:val="000000" w:themeColor="text1"/>
          <w:sz w:val="24"/>
          <w:szCs w:val="24"/>
        </w:rPr>
        <w:t>SERVIÇO NACIONAL DE APRENDIZAGEM INDUSTRIAL – SENAI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Calibri" w:hAnsi="Calibri" w:eastAsia="Times New Roman" w:cs="Calibri Light" w:asciiTheme="minorHAnsi" w:hAnsiTheme="minorHAnsi"/>
          <w:sz w:val="24"/>
          <w:szCs w:val="24"/>
        </w:rPr>
      </w:pPr>
      <w:r>
        <w:rPr>
          <w:rFonts w:eastAsia="Times New Roman" w:cs="Calibri Light" w:ascii="Calibri" w:hAnsi="Calibri" w:asciiTheme="minorHAnsi" w:hAnsiTheme="minorHAnsi"/>
          <w:sz w:val="24"/>
          <w:szCs w:val="24"/>
        </w:rPr>
        <w:t>Contratada</w:t>
      </w:r>
    </w:p>
    <w:sectPr>
      <w:headerReference w:type="default" r:id="rId2"/>
      <w:footerReference w:type="default" r:id="rId3"/>
      <w:type w:val="nextPage"/>
      <w:pgSz w:w="11906" w:h="16838"/>
      <w:pgMar w:left="1134" w:right="680" w:header="142" w:top="1388" w:footer="357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(W1)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ms Rmn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2" wp14:anchorId="66831558">
              <wp:simplePos x="0" y="0"/>
              <wp:positionH relativeFrom="page">
                <wp:posOffset>6814820</wp:posOffset>
              </wp:positionH>
              <wp:positionV relativeFrom="page">
                <wp:posOffset>10229850</wp:posOffset>
              </wp:positionV>
              <wp:extent cx="403225" cy="358775"/>
              <wp:effectExtent l="0" t="0" r="0" b="3810"/>
              <wp:wrapNone/>
              <wp:docPr id="2" name="Retângulo 58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480" cy="35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jc w:val="center"/>
                            <w:rPr>
                              <w:rFonts w:ascii="Calibri" w:hAnsi="Calibri" w:asciiTheme="minorHAnsi" w:hAnsiTheme="minorHAnsi"/>
                              <w:szCs w:val="20"/>
                            </w:rPr>
                          </w:pPr>
                          <w:r>
                            <w:rPr>
                              <w:rFonts w:ascii="Calibri" w:hAnsi="Calibri" w:asciiTheme="minorHAnsi" w:hAnsiTheme="minorHAnsi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Cs w:val="20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zCs w:val="20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Cs w:val="20"/>
                              <w:rFonts w:ascii="Calibri" w:hAnsi="Calibri"/>
                            </w:rPr>
                            <w:t>7</w:t>
                          </w:r>
                          <w:r>
                            <w:rPr>
                              <w:szCs w:val="20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581" fillcolor="white" stroked="f" style="position:absolute;margin-left:536.6pt;margin-top:805.5pt;width:31.65pt;height:28.15pt;mso-wrap-style:square;v-text-anchor:top;mso-position-horizontal-relative:page;mso-position-vertical-relative:page" wp14:anchorId="66831558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jc w:val="center"/>
                      <w:rPr>
                        <w:rFonts w:ascii="Calibri" w:hAnsi="Calibri" w:asciiTheme="minorHAnsi" w:hAnsiTheme="minorHAnsi"/>
                        <w:szCs w:val="20"/>
                      </w:rPr>
                    </w:pPr>
                    <w:r>
                      <w:rPr>
                        <w:rFonts w:ascii="Calibri" w:hAnsi="Calibri" w:asciiTheme="minorHAnsi" w:hAnsiTheme="minorHAnsi"/>
                        <w:szCs w:val="20"/>
                      </w:rPr>
                      <w:fldChar w:fldCharType="begin"/>
                    </w:r>
                    <w:r>
                      <w:rPr>
                        <w:szCs w:val="20"/>
                        <w:rFonts w:ascii="Calibri" w:hAnsi="Calibri"/>
                      </w:rPr>
                      <w:instrText> PAGE </w:instrText>
                    </w:r>
                    <w:r>
                      <w:rPr>
                        <w:szCs w:val="20"/>
                        <w:rFonts w:ascii="Calibri" w:hAnsi="Calibri"/>
                      </w:rPr>
                      <w:fldChar w:fldCharType="separate"/>
                    </w:r>
                    <w:r>
                      <w:rPr>
                        <w:szCs w:val="20"/>
                        <w:rFonts w:ascii="Calibri" w:hAnsi="Calibri"/>
                      </w:rPr>
                      <w:t>7</w:t>
                    </w:r>
                    <w:r>
                      <w:rPr>
                        <w:szCs w:val="20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2268220" cy="699770"/>
          <wp:effectExtent l="0" t="0" r="0" b="0"/>
          <wp:docPr id="4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1821180" cy="68897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cs="Times New Roman" w:eastAsia="Calibri" w:eastAsiaTheme="minorHAnsi"/>
      <w:color w:val="auto"/>
      <w:kern w:val="0"/>
      <w:sz w:val="20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e07fa1"/>
    <w:pPr>
      <w:keepNext w:val="true"/>
      <w:spacing w:lineRule="auto" w:line="240" w:before="240" w:after="60"/>
      <w:outlineLvl w:val="0"/>
    </w:pPr>
    <w:rPr>
      <w:rFonts w:ascii="Arial" w:hAnsi="Arial" w:eastAsia="Arial Unicode MS" w:cs="Arial"/>
      <w:b/>
      <w:bCs/>
      <w:kern w:val="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07fa1"/>
    <w:pPr>
      <w:keepNext w:val="true"/>
      <w:spacing w:lineRule="auto" w:line="240" w:before="240" w:after="60"/>
      <w:outlineLvl w:val="1"/>
    </w:pPr>
    <w:rPr>
      <w:rFonts w:ascii="Arial" w:hAnsi="Arial" w:eastAsia="Arial Unicode MS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07fa1"/>
    <w:pPr>
      <w:keepNext w:val="true"/>
      <w:spacing w:lineRule="auto" w:line="240" w:before="0" w:after="0"/>
      <w:jc w:val="both"/>
      <w:outlineLvl w:val="2"/>
    </w:pPr>
    <w:rPr>
      <w:rFonts w:eastAsia="Arial Unicode MS"/>
      <w:b/>
      <w:bCs/>
      <w:sz w:val="24"/>
      <w:szCs w:val="24"/>
      <w:u w:val="single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07fa1"/>
    <w:pPr>
      <w:keepNext w:val="true"/>
      <w:overflowPunct w:val="true"/>
      <w:spacing w:lineRule="auto" w:line="240" w:before="0" w:after="0"/>
      <w:jc w:val="both"/>
      <w:textAlignment w:val="baseline"/>
      <w:outlineLvl w:val="5"/>
    </w:pPr>
    <w:rPr>
      <w:rFonts w:eastAsia="Times New Roman"/>
      <w:b/>
      <w:bCs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07fa1"/>
    <w:pPr>
      <w:keepNext w:val="true"/>
      <w:overflowPunct w:val="true"/>
      <w:spacing w:lineRule="auto" w:line="240" w:before="0" w:after="0"/>
      <w:jc w:val="center"/>
      <w:textAlignment w:val="baseline"/>
      <w:outlineLvl w:val="6"/>
    </w:pPr>
    <w:rPr>
      <w:rFonts w:eastAsia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07fa1"/>
    <w:pPr>
      <w:spacing w:lineRule="auto" w:line="240" w:before="240" w:after="60"/>
      <w:outlineLvl w:val="7"/>
    </w:pPr>
    <w:rPr>
      <w:rFonts w:eastAsia="Times New Roman"/>
      <w:i/>
      <w:iCs/>
      <w:sz w:val="24"/>
      <w:szCs w:val="24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e07fa1"/>
    <w:rPr>
      <w:rFonts w:ascii="Arial" w:hAnsi="Arial" w:eastAsia="Arial Unicode MS" w:cs="Arial"/>
      <w:b/>
      <w:bCs/>
      <w:kern w:val="2"/>
      <w:sz w:val="32"/>
      <w:szCs w:val="32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e07fa1"/>
    <w:rPr>
      <w:rFonts w:ascii="Arial" w:hAnsi="Arial" w:eastAsia="Arial Unicode MS" w:cs="Arial"/>
      <w:b/>
      <w:bCs/>
      <w:i/>
      <w:iCs/>
      <w:sz w:val="28"/>
      <w:szCs w:val="28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e07fa1"/>
    <w:rPr>
      <w:rFonts w:ascii="Times New Roman" w:hAnsi="Times New Roman" w:eastAsia="Arial Unicode MS" w:cs="Times New Roman"/>
      <w:b/>
      <w:bCs/>
      <w:sz w:val="24"/>
      <w:szCs w:val="24"/>
      <w:u w:val="single"/>
      <w:lang w:eastAsia="pt-BR"/>
    </w:rPr>
  </w:style>
  <w:style w:type="character" w:styleId="Ttulo6Char" w:customStyle="1">
    <w:name w:val="Título 6 Char"/>
    <w:basedOn w:val="DefaultParagraphFont"/>
    <w:link w:val="Ttulo6"/>
    <w:qFormat/>
    <w:rsid w:val="00e07fa1"/>
    <w:rPr>
      <w:rFonts w:ascii="Times New Roman" w:hAnsi="Times New Roman" w:eastAsia="Times New Roman" w:cs="Times New Roman"/>
      <w:b/>
      <w:bCs/>
      <w:sz w:val="28"/>
      <w:szCs w:val="20"/>
      <w:lang w:eastAsia="pt-BR"/>
    </w:rPr>
  </w:style>
  <w:style w:type="character" w:styleId="Ttulo7Char" w:customStyle="1">
    <w:name w:val="Título 7 Char"/>
    <w:basedOn w:val="DefaultParagraphFont"/>
    <w:link w:val="Ttulo7"/>
    <w:qFormat/>
    <w:rsid w:val="00e07fa1"/>
    <w:rPr>
      <w:rFonts w:ascii="Times New Roman" w:hAnsi="Times New Roman" w:eastAsia="Times New Roman" w:cs="Times New Roman"/>
      <w:b/>
      <w:bCs/>
      <w:sz w:val="28"/>
      <w:szCs w:val="20"/>
      <w:lang w:eastAsia="pt-BR"/>
    </w:rPr>
  </w:style>
  <w:style w:type="character" w:styleId="Ttulo8Char" w:customStyle="1">
    <w:name w:val="Título 8 Char"/>
    <w:basedOn w:val="DefaultParagraphFont"/>
    <w:link w:val="Ttulo8"/>
    <w:qFormat/>
    <w:rsid w:val="00e07fa1"/>
    <w:rPr>
      <w:rFonts w:ascii="Times New Roman" w:hAnsi="Times New Roman" w:eastAsia="Times New Roman" w:cs="Times New Roman"/>
      <w:i/>
      <w:iCs/>
      <w:sz w:val="24"/>
      <w:szCs w:val="24"/>
      <w:lang w:eastAsia="pt-BR"/>
    </w:rPr>
  </w:style>
  <w:style w:type="character" w:styleId="Pagenumber">
    <w:name w:val="page number"/>
    <w:basedOn w:val="DefaultParagraphFont"/>
    <w:qFormat/>
    <w:rsid w:val="00e07fa1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07fa1"/>
    <w:rPr>
      <w:rFonts w:ascii="Courier (W1)" w:hAnsi="Courier (W1)" w:eastAsia="Times New Roman" w:cs="Times New Roman"/>
      <w:color w:val="000000"/>
      <w:sz w:val="24"/>
      <w:szCs w:val="20"/>
      <w:lang w:val="x-non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07fa1"/>
    <w:rPr>
      <w:rFonts w:ascii="Times New Roman" w:hAnsi="Times New Roman" w:eastAsia="Times New Roman" w:cs="Times New Roman"/>
      <w:sz w:val="20"/>
      <w:szCs w:val="20"/>
      <w:lang w:val="x-none"/>
    </w:rPr>
  </w:style>
  <w:style w:type="character" w:styleId="CorpodetextoChar" w:customStyle="1">
    <w:name w:val="Corpo de texto Char"/>
    <w:basedOn w:val="DefaultParagraphFont"/>
    <w:link w:val="Corpodetexto"/>
    <w:qFormat/>
    <w:rsid w:val="00e07fa1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e07fa1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ecuodecorpodetexto3Char" w:customStyle="1">
    <w:name w:val="Recuo de corpo de texto 3 Char"/>
    <w:basedOn w:val="DefaultParagraphFont"/>
    <w:link w:val="Recuodecorpodetexto3"/>
    <w:qFormat/>
    <w:rsid w:val="00e07fa1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CaracteresdeNotadeFim" w:customStyle="1">
    <w:name w:val="Caracteres de Nota de Fim"/>
    <w:qFormat/>
    <w:rsid w:val="00e07fa1"/>
    <w:rPr>
      <w:vertAlign w:val="superscript"/>
    </w:rPr>
  </w:style>
  <w:style w:type="character" w:styleId="TextodenotadefimChar" w:customStyle="1">
    <w:name w:val="Texto de nota de fim Char"/>
    <w:basedOn w:val="DefaultParagraphFont"/>
    <w:link w:val="Textodenotadefim"/>
    <w:semiHidden/>
    <w:qFormat/>
    <w:rsid w:val="00e07fa1"/>
    <w:rPr>
      <w:rFonts w:ascii="Times New Roman" w:hAnsi="Times New Roman" w:eastAsia="Tahoma" w:cs="Times New Roman"/>
      <w:sz w:val="20"/>
      <w:szCs w:val="20"/>
      <w:lang w:val="x-none" w:eastAsia="x-none"/>
    </w:rPr>
  </w:style>
  <w:style w:type="character" w:styleId="LinkdaInternet">
    <w:name w:val="Link da Internet"/>
    <w:uiPriority w:val="99"/>
    <w:rsid w:val="00e07fa1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qFormat/>
    <w:rsid w:val="00e07fa1"/>
    <w:rPr>
      <w:rFonts w:ascii="Tahoma" w:hAnsi="Tahoma" w:eastAsia="Times New Roman" w:cs="Times New Roman"/>
      <w:sz w:val="16"/>
      <w:szCs w:val="16"/>
      <w:lang w:val="x-none"/>
    </w:rPr>
  </w:style>
  <w:style w:type="character" w:styleId="DivisodeTabelasChar" w:customStyle="1">
    <w:name w:val="Divisão de Tabelas Char"/>
    <w:link w:val="DivisodeTabelas"/>
    <w:qFormat/>
    <w:rsid w:val="00e07fa1"/>
    <w:rPr>
      <w:rFonts w:ascii="Times New Roman" w:hAnsi="Times New Roman" w:eastAsia="Times New Roman" w:cs="Times New Roman"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e07fa1"/>
    <w:pPr>
      <w:spacing w:lineRule="auto" w:line="240" w:before="0" w:after="120"/>
    </w:pPr>
    <w:rPr>
      <w:rFonts w:eastAsia="Times New Roman"/>
      <w:sz w:val="24"/>
      <w:szCs w:val="24"/>
      <w:lang w:eastAsia="pt-BR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rsid w:val="00e07fa1"/>
    <w:pPr>
      <w:tabs>
        <w:tab w:val="clear" w:pos="708"/>
        <w:tab w:val="center" w:pos="4419" w:leader="none"/>
        <w:tab w:val="right" w:pos="8838" w:leader="none"/>
      </w:tabs>
      <w:overflowPunct w:val="true"/>
      <w:spacing w:lineRule="auto" w:line="240" w:before="0" w:after="0"/>
      <w:textAlignment w:val="baseline"/>
    </w:pPr>
    <w:rPr>
      <w:rFonts w:ascii="Courier (W1)" w:hAnsi="Courier (W1)" w:eastAsia="Times New Roman"/>
      <w:color w:val="000000"/>
      <w:sz w:val="24"/>
      <w:szCs w:val="20"/>
      <w:lang w:val="x-none"/>
    </w:rPr>
  </w:style>
  <w:style w:type="paragraph" w:styleId="Cabealho">
    <w:name w:val="Header"/>
    <w:basedOn w:val="Normal"/>
    <w:link w:val="CabealhoChar"/>
    <w:uiPriority w:val="99"/>
    <w:rsid w:val="00e07fa1"/>
    <w:pPr>
      <w:tabs>
        <w:tab w:val="clear" w:pos="708"/>
        <w:tab w:val="center" w:pos="4252" w:leader="none"/>
        <w:tab w:val="right" w:pos="8504" w:leader="none"/>
      </w:tabs>
      <w:overflowPunct w:val="true"/>
      <w:spacing w:lineRule="auto" w:line="240" w:before="0" w:after="0"/>
      <w:textAlignment w:val="baseline"/>
    </w:pPr>
    <w:rPr>
      <w:rFonts w:eastAsia="Times New Roman"/>
      <w:szCs w:val="20"/>
      <w:lang w:val="x-none"/>
    </w:rPr>
  </w:style>
  <w:style w:type="paragraph" w:styleId="Corpodotextorecuado">
    <w:name w:val="Body Text Indent"/>
    <w:basedOn w:val="Normal"/>
    <w:link w:val="RecuodecorpodetextoChar"/>
    <w:rsid w:val="00e07fa1"/>
    <w:pPr>
      <w:spacing w:lineRule="auto" w:line="240" w:before="0" w:after="120"/>
      <w:ind w:left="283" w:hanging="0"/>
    </w:pPr>
    <w:rPr>
      <w:rFonts w:eastAsia="Times New Roman"/>
      <w:sz w:val="24"/>
      <w:szCs w:val="24"/>
      <w:lang w:eastAsia="pt-BR"/>
    </w:rPr>
  </w:style>
  <w:style w:type="paragraph" w:styleId="TxBrc1" w:customStyle="1">
    <w:name w:val="TxBr_c1"/>
    <w:basedOn w:val="Normal"/>
    <w:qFormat/>
    <w:rsid w:val="00e07fa1"/>
    <w:pPr>
      <w:widowControl w:val="false"/>
      <w:spacing w:lineRule="atLeast" w:line="240" w:before="0" w:after="0"/>
      <w:jc w:val="center"/>
    </w:pPr>
    <w:rPr>
      <w:rFonts w:eastAsia="Times New Roman"/>
      <w:sz w:val="24"/>
      <w:szCs w:val="24"/>
      <w:lang w:val="en-US" w:eastAsia="pt-BR"/>
    </w:rPr>
  </w:style>
  <w:style w:type="paragraph" w:styleId="TxBrp3" w:customStyle="1">
    <w:name w:val="TxBr_p3"/>
    <w:basedOn w:val="Normal"/>
    <w:qFormat/>
    <w:rsid w:val="00e07fa1"/>
    <w:pPr>
      <w:widowControl w:val="false"/>
      <w:tabs>
        <w:tab w:val="clear" w:pos="708"/>
        <w:tab w:val="left" w:pos="294" w:leader="none"/>
      </w:tabs>
      <w:spacing w:lineRule="atLeast" w:line="240" w:before="0" w:after="0"/>
      <w:ind w:left="130" w:hanging="0"/>
    </w:pPr>
    <w:rPr>
      <w:rFonts w:eastAsia="Times New Roman"/>
      <w:sz w:val="24"/>
      <w:szCs w:val="24"/>
      <w:lang w:val="en-US" w:eastAsia="pt-BR"/>
    </w:rPr>
  </w:style>
  <w:style w:type="paragraph" w:styleId="BodyTextIndent3">
    <w:name w:val="Body Text Indent 3"/>
    <w:basedOn w:val="Normal"/>
    <w:link w:val="Recuodecorpodetexto3Char"/>
    <w:qFormat/>
    <w:rsid w:val="00e07fa1"/>
    <w:pPr>
      <w:spacing w:lineRule="auto" w:line="240" w:before="0" w:after="120"/>
      <w:ind w:left="283" w:hanging="0"/>
    </w:pPr>
    <w:rPr>
      <w:rFonts w:eastAsia="Times New Roman"/>
      <w:sz w:val="16"/>
      <w:szCs w:val="16"/>
      <w:lang w:eastAsia="pt-BR"/>
    </w:rPr>
  </w:style>
  <w:style w:type="paragraph" w:styleId="PADRAO" w:customStyle="1">
    <w:name w:val="PADRAO"/>
    <w:basedOn w:val="Normal"/>
    <w:qFormat/>
    <w:rsid w:val="00e07fa1"/>
    <w:pPr>
      <w:widowControl w:val="false"/>
      <w:suppressAutoHyphens w:val="true"/>
      <w:spacing w:lineRule="auto" w:line="240" w:before="0" w:after="0"/>
      <w:jc w:val="both"/>
    </w:pPr>
    <w:rPr>
      <w:rFonts w:ascii="Tms Rmn" w:hAnsi="Tms Rmn" w:eastAsia="Tahoma" w:cs="Tahoma"/>
      <w:sz w:val="24"/>
      <w:szCs w:val="24"/>
      <w:lang w:eastAsia="pt-BR"/>
    </w:rPr>
  </w:style>
  <w:style w:type="paragraph" w:styleId="Recuodecorpodetexto31" w:customStyle="1">
    <w:name w:val="Recuo de corpo de texto 31"/>
    <w:basedOn w:val="Normal"/>
    <w:qFormat/>
    <w:rsid w:val="00e07fa1"/>
    <w:pPr>
      <w:widowControl w:val="false"/>
      <w:suppressAutoHyphens w:val="true"/>
      <w:spacing w:lineRule="auto" w:line="240" w:before="0" w:after="0"/>
      <w:ind w:left="709" w:hanging="709"/>
      <w:jc w:val="both"/>
    </w:pPr>
    <w:rPr>
      <w:rFonts w:eastAsia="Tahoma" w:cs="Tahoma"/>
      <w:sz w:val="24"/>
      <w:szCs w:val="24"/>
      <w:lang w:eastAsia="pt-BR"/>
    </w:rPr>
  </w:style>
  <w:style w:type="paragraph" w:styleId="Textopadro" w:customStyle="1">
    <w:name w:val="Texto padrão"/>
    <w:basedOn w:val="Normal"/>
    <w:qFormat/>
    <w:rsid w:val="00e07fa1"/>
    <w:pPr>
      <w:widowControl w:val="false"/>
      <w:suppressAutoHyphens w:val="true"/>
      <w:spacing w:lineRule="auto" w:line="240" w:before="0" w:after="0"/>
    </w:pPr>
    <w:rPr>
      <w:rFonts w:eastAsia="Tahoma" w:cs="Tahoma"/>
      <w:sz w:val="24"/>
      <w:szCs w:val="24"/>
      <w:lang w:val="en-US" w:eastAsia="pt-BR"/>
    </w:rPr>
  </w:style>
  <w:style w:type="paragraph" w:styleId="Xl43" w:customStyle="1">
    <w:name w:val="xl43"/>
    <w:basedOn w:val="Normal"/>
    <w:qFormat/>
    <w:rsid w:val="00e07fa1"/>
    <w:pPr>
      <w:widowControl w:val="false"/>
      <w:suppressAutoHyphens w:val="true"/>
      <w:spacing w:lineRule="auto" w:line="240" w:before="100" w:after="100"/>
    </w:pPr>
    <w:rPr>
      <w:rFonts w:eastAsia="Tahoma" w:cs="Tahoma"/>
      <w:sz w:val="22"/>
      <w:lang w:eastAsia="pt-BR"/>
    </w:rPr>
  </w:style>
  <w:style w:type="paragraph" w:styleId="Notadefim">
    <w:name w:val="Endnote Text"/>
    <w:basedOn w:val="Normal"/>
    <w:link w:val="TextodenotadefimChar"/>
    <w:semiHidden/>
    <w:rsid w:val="00e07fa1"/>
    <w:pPr>
      <w:widowControl w:val="false"/>
      <w:suppressLineNumbers/>
      <w:suppressAutoHyphens w:val="true"/>
      <w:spacing w:lineRule="auto" w:line="240" w:before="0" w:after="0"/>
      <w:ind w:left="283" w:hanging="283"/>
    </w:pPr>
    <w:rPr>
      <w:rFonts w:eastAsia="Tahoma"/>
      <w:szCs w:val="20"/>
      <w:lang w:val="x-none" w:eastAsia="x-none"/>
    </w:rPr>
  </w:style>
  <w:style w:type="paragraph" w:styleId="ListParagraph">
    <w:name w:val="List Paragraph"/>
    <w:basedOn w:val="Normal"/>
    <w:qFormat/>
    <w:rsid w:val="00e07fa1"/>
    <w:pPr>
      <w:spacing w:lineRule="auto" w:line="240" w:before="0" w:after="200"/>
      <w:ind w:left="720" w:hanging="0"/>
      <w:contextualSpacing/>
    </w:pPr>
    <w:rPr>
      <w:rFonts w:eastAsia="Times New Roman"/>
      <w:szCs w:val="20"/>
    </w:rPr>
  </w:style>
  <w:style w:type="paragraph" w:styleId="BalloonText">
    <w:name w:val="Balloon Text"/>
    <w:basedOn w:val="Normal"/>
    <w:link w:val="TextodebaloChar"/>
    <w:qFormat/>
    <w:rsid w:val="00e07fa1"/>
    <w:pPr>
      <w:overflowPunct w:val="true"/>
      <w:spacing w:lineRule="auto" w:line="240" w:before="0" w:after="0"/>
      <w:textAlignment w:val="baseline"/>
    </w:pPr>
    <w:rPr>
      <w:rFonts w:ascii="Tahoma" w:hAnsi="Tahoma" w:eastAsia="Times New Roman"/>
      <w:sz w:val="16"/>
      <w:szCs w:val="16"/>
      <w:lang w:val="x-none"/>
    </w:rPr>
  </w:style>
  <w:style w:type="paragraph" w:styleId="Default" w:customStyle="1">
    <w:name w:val="Default"/>
    <w:qFormat/>
    <w:rsid w:val="00e07fa1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DivisodeTabelas" w:customStyle="1">
    <w:name w:val="Divisão de Tabelas"/>
    <w:basedOn w:val="Normal"/>
    <w:link w:val="DivisodeTabelasChar"/>
    <w:qFormat/>
    <w:rsid w:val="00e07fa1"/>
    <w:pPr>
      <w:overflowPunct w:val="true"/>
      <w:spacing w:lineRule="exact" w:line="20" w:before="0" w:after="0"/>
      <w:textAlignment w:val="baseline"/>
    </w:pPr>
    <w:rPr>
      <w:rFonts w:eastAsia="Times New Roman"/>
      <w:szCs w:val="20"/>
    </w:rPr>
  </w:style>
  <w:style w:type="paragraph" w:styleId="NormalWeb">
    <w:name w:val="Normal (Web)"/>
    <w:basedOn w:val="Normal"/>
    <w:uiPriority w:val="99"/>
    <w:unhideWhenUsed/>
    <w:qFormat/>
    <w:rsid w:val="00e07fa1"/>
    <w:pPr>
      <w:spacing w:lineRule="auto" w:line="240" w:beforeAutospacing="1" w:afterAutospacing="1"/>
    </w:pPr>
    <w:rPr>
      <w:rFonts w:eastAsia="Times New Roman"/>
      <w:sz w:val="24"/>
      <w:szCs w:val="24"/>
      <w:lang w:eastAsia="pt-BR"/>
    </w:rPr>
  </w:style>
  <w:style w:type="paragraph" w:styleId="Standard" w:customStyle="1">
    <w:name w:val="Standard"/>
    <w:qFormat/>
    <w:rsid w:val="001240b4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eastAsia="zh-CN" w:bidi="hi-IN" w:val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emlista1" w:customStyle="1">
    <w:name w:val="Sem lista1"/>
    <w:semiHidden/>
    <w:qFormat/>
    <w:rsid w:val="00e07fa1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07fa1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elacomgrade1">
    <w:name w:val="Tabela com grade1"/>
    <w:basedOn w:val="Tabelanormal"/>
    <w:uiPriority w:val="59"/>
    <w:rsid w:val="00df29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89C4-47B3-431C-AFF9-A94A9264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Application>LibreOffice/7.0.5.2$Windows_X86_64 LibreOffice_project/64390860c6cd0aca4beafafcfd84613dd9dfb63a</Application>
  <AppVersion>15.0000</AppVersion>
  <Pages>11</Pages>
  <Words>1990</Words>
  <Characters>11006</Characters>
  <CharactersWithSpaces>12851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2020-03-30T17:31:00Z</dcterms:created>
  <dc:creator>Usuario2</dc:creator>
  <dc:description/>
  <dc:language>pt-BR</dc:language>
  <cp:lastModifiedBy>Usuario</cp:lastModifiedBy>
  <cp:lastPrinted>2022-02-07T18:21:00Z</cp:lastPrinted>
  <dcterms:modified xsi:type="dcterms:W3CDTF">2022-02-07T18:21:00Z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